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季报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9122032376899476X2001P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亚泰集团伊通水泥有限公司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2026年第1季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孙喜贺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孔祥勇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04344371804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15774476667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2026年04月08日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四平市生态环境局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亚泰集团伊通水泥有限公司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一、企业基本信息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（一）排污单位基本信息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  <w:p w14:paraId="6887556D">
      <w:pPr>
        <w:pStyle w:val="6"/>
        <w:shd w:val="clear" w:color="auto" w:fill="FFFFFF"/>
        <w:spacing w:beforeAutospacing="1" w:afterAutospacing="1"/>
        <w:jc w:val="center"/>
        <w:rPr>
          <w:rFonts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</w:pPr>
      <w:r>
        <w:rPr>
          <w:rFonts w:hint="eastAsia"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  <w:t>排污单位基本信息</w:t>
      </w:r>
      <w:r>
        <w:rPr>
          <w:rFonts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  <w:t>(</w:t>
      </w:r>
      <w:r>
        <w:rPr>
          <w:rFonts w:hint="eastAsia"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  <w:t>水泥行业</w:t>
      </w:r>
      <w:r>
        <w:rPr>
          <w:rFonts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  <w:t>)</w:t>
      </w:r>
    </w:p>
    <w:p w14:paraId="771FAEC0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 1：计量单位选择其它时，请在备注写明具体单位名称</w:t>
      </w:r>
    </w:p>
    <w:tbl>
      <w:tblPr>
        <w:tblStyle w:val="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7"/>
        <w:gridCol w:w="2866"/>
        <w:gridCol w:w="3030"/>
        <w:gridCol w:w="2821"/>
        <w:gridCol w:w="1687"/>
        <w:gridCol w:w="1547"/>
      </w:tblGrid>
      <w:tr w14:paraId="35B20058">
        <w:trPr>
          <w:trHeight w:val="686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3D78D47">
            <w:pPr>
              <w:pStyle w:val="2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记录内容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141763">
            <w:pPr>
              <w:pStyle w:val="2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生产单元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72FDF58">
            <w:pPr>
              <w:pStyle w:val="2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名称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F7A0676">
            <w:pPr>
              <w:pStyle w:val="2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数量或内容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CCC92C">
            <w:pPr>
              <w:pStyle w:val="2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计量单位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75A38F2">
            <w:pPr>
              <w:pStyle w:val="2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备注</w:t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公用单元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污水处理站添加剂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kg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水泥粉磨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14206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熟料外排2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熟料生产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贮存系统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脱硝原料-氨水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水泥粉磨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矿渣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3089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水泥粉磨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缓凝剂-脱硫石膏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1583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水泥粉磨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混合材-石灰石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885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水泥粉磨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混合材-粉煤灰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6648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熟料生产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铁质原料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熟料生产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铝质原料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熟料生产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硅质原料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全厂合计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用电量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2048599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公用单元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用电量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406800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水泥粉磨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用电量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1461799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熟料外排2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用电量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熟料生产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用电量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180000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主要产品产量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公用单元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污水处理药剂产量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kg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主要产品产量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水泥粉磨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水泥产量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1329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主要产品产量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熟料外排2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熟料产量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27742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主要产品产量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熟料生产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熟料产量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DADAA7D">
        <w:trPr>
          <w:trHeight w:val="415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9EFE6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主要产品产量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41177B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贮存系统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238F6C6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脱销原料-氨水产量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899C9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F85EA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ECECA5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7AC8D821">
      <w:pPr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（二）燃料分析表</w:t>
      </w:r>
    </w:p>
    <w:p w14:paraId="5BF92894">
      <w:pPr>
        <w:pStyle w:val="6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燃料分析表</w:t>
      </w:r>
    </w:p>
    <w:p w14:paraId="12B025F5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注：如填报模版不涉及此页面内容，无需填写。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944"/>
        <w:gridCol w:w="967"/>
        <w:gridCol w:w="752"/>
        <w:gridCol w:w="485"/>
        <w:gridCol w:w="675"/>
        <w:gridCol w:w="981"/>
        <w:gridCol w:w="769"/>
        <w:gridCol w:w="771"/>
        <w:gridCol w:w="853"/>
        <w:gridCol w:w="794"/>
        <w:gridCol w:w="765"/>
        <w:gridCol w:w="952"/>
        <w:gridCol w:w="681"/>
        <w:gridCol w:w="830"/>
        <w:gridCol w:w="855"/>
        <w:gridCol w:w="1188"/>
      </w:tblGrid>
      <w:tr w14:paraId="1A15C0FF">
        <w:trPr>
          <w:wAfter w:w="0" w:type="auto"/>
          <w:trHeight w:val="1872" w:hRule="atLeast"/>
        </w:trPr>
        <w:tc>
          <w:tcPr>
            <w:tcW w:w="321" w:type="pct"/>
            <w:vMerge w:val="restart"/>
            <w:vAlign w:val="center"/>
          </w:tcPr>
          <w:p w14:paraId="76A419C0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主要生产单元名称</w:t>
            </w:r>
          </w:p>
        </w:tc>
        <w:tc>
          <w:tcPr>
            <w:tcW w:w="333" w:type="pct"/>
            <w:vMerge w:val="restart"/>
            <w:vAlign w:val="center"/>
          </w:tcPr>
          <w:p w14:paraId="3AC57FDA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341" w:type="pct"/>
            <w:vMerge w:val="restart"/>
            <w:vAlign w:val="center"/>
          </w:tcPr>
          <w:p w14:paraId="4FE4DCD9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生产设施名称</w:t>
            </w:r>
          </w:p>
        </w:tc>
        <w:tc>
          <w:tcPr>
            <w:tcW w:w="265" w:type="pct"/>
            <w:vMerge w:val="restart"/>
            <w:vAlign w:val="center"/>
          </w:tcPr>
          <w:p w14:paraId="2C60D9DE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燃料名称</w:t>
            </w:r>
          </w:p>
        </w:tc>
        <w:tc>
          <w:tcPr>
            <w:tcW w:w="409" w:type="pct"/>
            <w:gridSpan w:val="2"/>
            <w:vMerge w:val="restart"/>
            <w:vAlign w:val="center"/>
          </w:tcPr>
          <w:p w14:paraId="45B8E932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实物使用量（万t、万m³）</w:t>
            </w:r>
          </w:p>
        </w:tc>
        <w:tc>
          <w:tcPr>
            <w:tcW w:w="1740" w:type="pct"/>
            <w:gridSpan w:val="6"/>
            <w:vAlign w:val="center"/>
          </w:tcPr>
          <w:p w14:paraId="23D62312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固体或液体燃料报表填报</w:t>
            </w:r>
          </w:p>
        </w:tc>
        <w:tc>
          <w:tcPr>
            <w:tcW w:w="1589" w:type="pct"/>
            <w:gridSpan w:val="5"/>
            <w:vAlign w:val="center"/>
          </w:tcPr>
          <w:p w14:paraId="018CCFD0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气体燃料报表填报</w:t>
            </w:r>
          </w:p>
        </w:tc>
      </w:tr>
      <w:tr w14:paraId="1EC5E08D">
        <w:trPr>
          <w:wAfter w:w="0" w:type="auto"/>
          <w:trHeight w:val="1872" w:hRule="atLeast"/>
        </w:trPr>
        <w:tc>
          <w:tcPr>
            <w:tcW w:w="321" w:type="pct"/>
            <w:vMerge w:val="continue"/>
            <w:vAlign w:val="center"/>
          </w:tcPr>
          <w:p w14:paraId="68659ADD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4FF0620E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41" w:type="pct"/>
            <w:vMerge w:val="continue"/>
            <w:vAlign w:val="center"/>
          </w:tcPr>
          <w:p w14:paraId="1A4E5D1E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65" w:type="pct"/>
            <w:vMerge w:val="continue"/>
            <w:vAlign w:val="center"/>
          </w:tcPr>
          <w:p w14:paraId="0BC0481A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09" w:type="pct"/>
            <w:gridSpan w:val="2"/>
            <w:vMerge w:val="continue"/>
            <w:vAlign w:val="center"/>
          </w:tcPr>
          <w:p w14:paraId="74A07B32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46" w:type="pct"/>
            <w:vAlign w:val="center"/>
          </w:tcPr>
          <w:p w14:paraId="780387CB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收到基灰分Aar（%）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271" w:type="pct"/>
            <w:vAlign w:val="center"/>
          </w:tcPr>
          <w:p w14:paraId="6C2205C3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收到基全硫St.ar（%）</w:t>
            </w:r>
          </w:p>
        </w:tc>
        <w:tc>
          <w:tcPr>
            <w:tcW w:w="271" w:type="pct"/>
            <w:vAlign w:val="center"/>
          </w:tcPr>
          <w:p w14:paraId="2AC7A877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收到基碳Car（%）</w:t>
            </w:r>
          </w:p>
        </w:tc>
        <w:tc>
          <w:tcPr>
            <w:tcW w:w="300" w:type="pct"/>
            <w:vAlign w:val="center"/>
          </w:tcPr>
          <w:p w14:paraId="50994A45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干燥无灰基Vdaf挥发分（%）</w:t>
            </w:r>
          </w:p>
        </w:tc>
        <w:tc>
          <w:tcPr>
            <w:tcW w:w="549" w:type="pct"/>
            <w:gridSpan w:val="2"/>
            <w:vAlign w:val="center"/>
          </w:tcPr>
          <w:p w14:paraId="766DFB83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收到基低位发热量Qnet.ar（MJ/kg、MJ/m³）</w:t>
            </w:r>
          </w:p>
        </w:tc>
        <w:tc>
          <w:tcPr>
            <w:tcW w:w="576" w:type="pct"/>
            <w:gridSpan w:val="2"/>
            <w:vAlign w:val="center"/>
          </w:tcPr>
          <w:p w14:paraId="4EF586C8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硫化氢（%、mg/m³）</w:t>
            </w:r>
            <w:bookmarkStart w:id="0" w:name="_GoBack"/>
            <w:bookmarkEnd w:id="0"/>
          </w:p>
        </w:tc>
        <w:tc>
          <w:tcPr>
            <w:tcW w:w="594" w:type="pct"/>
            <w:gridSpan w:val="2"/>
            <w:vAlign w:val="center"/>
          </w:tcPr>
          <w:p w14:paraId="3481C968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总硫（%、mg/m³）</w:t>
            </w:r>
          </w:p>
        </w:tc>
        <w:tc>
          <w:tcPr>
            <w:tcW w:w="419" w:type="pct"/>
            <w:vAlign w:val="center"/>
          </w:tcPr>
          <w:p w14:paraId="61D8A377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低位发热量（MJ/m³）</w:t>
            </w:r>
          </w:p>
        </w:tc>
      </w:tr>
      <w:tr w14:paraId="443FA2FA">
        <w:trPr>
          <w:trHeight w:val="1872" w:hRule="atLeast"/>
        </w:trPr>
        <w:tc>
          <w:tcPr>
            <w:tcW w:w="321" w:type="pct"/>
          </w:tcPr>
          <w:p w14:paraId="384E7A62">
            <w:pPr>
              <w:widowControl w:val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熟料生产</w:t>
            </w:r>
          </w:p>
        </w:tc>
        <w:tc>
          <w:tcPr>
            <w:tcW w:w="333" w:type="pct"/>
          </w:tcPr>
          <w:p w14:paraId="32C0312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MF0073</w:t>
            </w:r>
          </w:p>
        </w:tc>
        <w:tc>
          <w:tcPr>
            <w:tcW w:w="341" w:type="pct"/>
          </w:tcPr>
          <w:p w14:paraId="3ECF9A23">
            <w:pPr>
              <w:widowControl w:val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水泥窑</w:t>
            </w:r>
          </w:p>
        </w:tc>
        <w:tc>
          <w:tcPr>
            <w:tcW w:w="265" w:type="pct"/>
          </w:tcPr>
          <w:p w14:paraId="4B0E7977">
            <w:pPr>
              <w:widowControl w:val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烟煤</w:t>
            </w:r>
          </w:p>
        </w:tc>
        <w:tc>
          <w:tcPr>
            <w:tcW w:w="171" w:type="pct"/>
          </w:tcPr>
          <w:p w14:paraId="511D6FF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38" w:type="pct"/>
          </w:tcPr>
          <w:p w14:paraId="0210BD23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346" w:type="pct"/>
          </w:tcPr>
          <w:p w14:paraId="308A6B2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271" w:type="pct"/>
          </w:tcPr>
          <w:p w14:paraId="2B57A19F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271" w:type="pct"/>
          </w:tcPr>
          <w:p w14:paraId="31D9F917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300" w:type="pct"/>
          </w:tcPr>
          <w:p w14:paraId="512D3173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280" w:type="pct"/>
          </w:tcPr>
          <w:p w14:paraId="674533C1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269" w:type="pct"/>
          </w:tcPr>
          <w:p w14:paraId="6A38A1EB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335" w:type="pct"/>
          </w:tcPr>
          <w:p w14:paraId="01C14174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240" w:type="pct"/>
          </w:tcPr>
          <w:p w14:paraId="2F397E05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292" w:type="pct"/>
          </w:tcPr>
          <w:p w14:paraId="5BA9BDE7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301" w:type="pct"/>
          </w:tcPr>
          <w:p w14:paraId="0A7D4CE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419" w:type="pct"/>
          </w:tcPr>
          <w:p w14:paraId="29626BDF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</w:tr>
      <w:tr w14:paraId="443FA2FA">
        <w:trPr>
          <w:trHeight w:val="1872" w:hRule="atLeast"/>
        </w:trPr>
        <w:tc>
          <w:tcPr>
            <w:tcW w:w="321" w:type="pct"/>
          </w:tcPr>
          <w:p w14:paraId="384E7A62">
            <w:pPr>
              <w:widowControl w:val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全厂总计</w:t>
            </w:r>
          </w:p>
        </w:tc>
        <w:tc>
          <w:tcPr>
            <w:tcW w:w="333" w:type="pct"/>
          </w:tcPr>
          <w:p w14:paraId="32C0312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341" w:type="pct"/>
          </w:tcPr>
          <w:p w14:paraId="3ECF9A23">
            <w:pPr>
              <w:widowControl w:val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/</w:t>
            </w:r>
          </w:p>
        </w:tc>
        <w:tc>
          <w:tcPr>
            <w:tcW w:w="265" w:type="pct"/>
          </w:tcPr>
          <w:p w14:paraId="4B0E7977">
            <w:pPr>
              <w:widowControl w:val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/</w:t>
            </w:r>
          </w:p>
        </w:tc>
        <w:tc>
          <w:tcPr>
            <w:tcW w:w="171" w:type="pct"/>
          </w:tcPr>
          <w:p w14:paraId="511D6FF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38" w:type="pct"/>
          </w:tcPr>
          <w:p w14:paraId="0210BD23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/>
            </w:r>
          </w:p>
        </w:tc>
        <w:tc>
          <w:tcPr>
            <w:tcW w:w="346" w:type="pct"/>
          </w:tcPr>
          <w:p w14:paraId="308A6B2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271" w:type="pct"/>
          </w:tcPr>
          <w:p w14:paraId="2B57A19F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271" w:type="pct"/>
          </w:tcPr>
          <w:p w14:paraId="31D9F917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300" w:type="pct"/>
          </w:tcPr>
          <w:p w14:paraId="512D3173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280" w:type="pct"/>
          </w:tcPr>
          <w:p w14:paraId="674533C1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269" w:type="pct"/>
          </w:tcPr>
          <w:p w14:paraId="6A38A1EB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/>
            </w:r>
          </w:p>
        </w:tc>
        <w:tc>
          <w:tcPr>
            <w:tcW w:w="335" w:type="pct"/>
          </w:tcPr>
          <w:p w14:paraId="01C14174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240" w:type="pct"/>
          </w:tcPr>
          <w:p w14:paraId="2F397E05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/>
            </w:r>
          </w:p>
        </w:tc>
        <w:tc>
          <w:tcPr>
            <w:tcW w:w="292" w:type="pct"/>
          </w:tcPr>
          <w:p w14:paraId="5BA9BDE7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301" w:type="pct"/>
          </w:tcPr>
          <w:p w14:paraId="0A7D4CE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/>
            </w:r>
          </w:p>
        </w:tc>
        <w:tc>
          <w:tcPr>
            <w:tcW w:w="419" w:type="pct"/>
          </w:tcPr>
          <w:p w14:paraId="29626BDF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</w:tr>
    </w:tbl>
    <w:p w14:paraId="493179C8"/>
    <w:p>
      <w:pPr>
        <w:pageBreakBefore w:val="on"/>
      </w:pP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二、实际排放情况及达标判定分析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3D3C1AB9">
      <w:pPr>
        <w:pStyle w:val="6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4BB8D0B9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75D9470C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7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339"/>
        <w:gridCol w:w="1619"/>
        <w:gridCol w:w="2066"/>
        <w:gridCol w:w="1853"/>
        <w:gridCol w:w="1633"/>
        <w:gridCol w:w="1842"/>
        <w:gridCol w:w="1706"/>
        <w:gridCol w:w="965"/>
      </w:tblGrid>
      <w:tr w14:paraId="79B75075">
        <w:tc>
          <w:tcPr>
            <w:tcW w:w="76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41156C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</w:p>
        </w:tc>
        <w:tc>
          <w:tcPr>
            <w:tcW w:w="49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75D357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542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E792EC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652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80A4BA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许可排放量（吨）</w:t>
            </w:r>
          </w:p>
        </w:tc>
        <w:tc>
          <w:tcPr>
            <w:tcW w:w="2049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B6D4524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实际排放量（吨）</w:t>
            </w:r>
          </w:p>
        </w:tc>
        <w:tc>
          <w:tcPr>
            <w:tcW w:w="500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204DAEB">
            <w:pPr>
              <w:pStyle w:val="35"/>
              <w:shd w:val="clear" w:color="auto" w:fill="FFFFFF"/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98AF163">
        <w:trPr>
          <w:trHeight w:val="1881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D364E3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6E7556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62D9AB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52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9AD84F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D8FA8F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季度合计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CDFF2D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763353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2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ABE844D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3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50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E09E216">
            <w:pPr>
              <w:rPr>
                <w:sz w:val="21"/>
                <w:szCs w:val="21"/>
              </w:rPr>
            </w:pP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DA006-窑尾烟气排放口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工业废气排放量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1季度窑未生产</w:t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DA006-窑尾烟气排放口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汞及其化合物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1季度窑未生产</w:t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DA006-窑尾烟气排放口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氨（氨气）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1季度窑未生产</w:t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DA006-窑尾烟气排放口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氮氧化物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535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1季度窑未生产</w:t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DA006-窑尾烟气排放口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氟化物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1季度窑未生产</w:t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DA006-窑尾烟气排放口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267.5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1季度窑未生产</w:t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DA006-窑尾烟气排放口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40.13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1季度窑未生产</w:t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DA007-窑头烟气排放口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工业废气排放量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1季度窑未生产</w:t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DA007-窑头烟气排放口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28.89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1季度窑未生产</w:t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无组织排放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挥发性有机物（VOCs）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4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DA001-石灰石破碎废气排放口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6.42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1季度窑未生产</w:t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工业废气排放量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1季度窑未生产</w:t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535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1季度窑未生产</w:t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267.500000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1季度窑未生产</w:t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125.820000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3.08e-1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3.08e-1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232C9D4C">
      <w:pPr>
        <w:pStyle w:val="6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3F3E0236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358"/>
        <w:gridCol w:w="1195"/>
        <w:gridCol w:w="1439"/>
        <w:gridCol w:w="1829"/>
        <w:gridCol w:w="1851"/>
        <w:gridCol w:w="1452"/>
        <w:gridCol w:w="1634"/>
        <w:gridCol w:w="1516"/>
        <w:gridCol w:w="869"/>
      </w:tblGrid>
      <w:tr w14:paraId="316CB07A">
        <w:tc>
          <w:tcPr>
            <w:tcW w:w="39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CA2729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</w:p>
        </w:tc>
        <w:tc>
          <w:tcPr>
            <w:tcW w:w="46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853C80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493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C4D187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54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25025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4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4F6971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许可排放量（吨）</w:t>
            </w:r>
          </w:p>
        </w:tc>
        <w:tc>
          <w:tcPr>
            <w:tcW w:w="2007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7A62A9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实际排放量（吨）</w:t>
            </w:r>
          </w:p>
        </w:tc>
        <w:tc>
          <w:tcPr>
            <w:tcW w:w="346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9AA224B">
            <w:pPr>
              <w:pStyle w:val="35"/>
              <w:shd w:val="clear" w:color="auto" w:fill="FFFFFF"/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784077DE">
        <w:trPr>
          <w:trHeight w:val="1881" w:hRule="atLeast"/>
        </w:trPr>
        <w:tc>
          <w:tcPr>
            <w:tcW w:w="39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C0377A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6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E93077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E7B6C2D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334652A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4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E920D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7CD5D9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季度合计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4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D30956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5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4B289A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2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55EAD9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3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346" w:type="pct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4EB874B">
            <w:pPr>
              <w:rPr>
                <w:sz w:val="21"/>
                <w:szCs w:val="21"/>
              </w:rPr>
            </w:pP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6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6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6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/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5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6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一般工业固体废物暂存间 - TS002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危废贮存库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/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2026年一季度回转窑未生产。</w:t>
      </w:r>
    </w:p>
    <w:p>
      <w:pPr>
        <w:pageBreakBefore w:val="on"/>
      </w:pPr>
    </w:p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